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A8893" w14:textId="48E2EDB9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CB1A6F">
        <w:rPr>
          <w:rFonts w:asciiTheme="majorHAnsi" w:hAnsiTheme="majorHAnsi"/>
          <w:b/>
          <w:bCs/>
          <w:sz w:val="32"/>
          <w:szCs w:val="32"/>
        </w:rPr>
        <w:t>1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CB1A6F">
        <w:rPr>
          <w:rFonts w:asciiTheme="majorHAnsi" w:hAnsiTheme="majorHAnsi"/>
          <w:b/>
          <w:bCs/>
          <w:sz w:val="32"/>
          <w:szCs w:val="32"/>
        </w:rPr>
        <w:t>12</w:t>
      </w:r>
    </w:p>
    <w:p w14:paraId="2AA2DB78" w14:textId="77777777" w:rsidR="007C7607" w:rsidRPr="007C7607" w:rsidRDefault="007C7607" w:rsidP="007C7607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7C7607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7C7607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44CA4749" w14:textId="77777777" w:rsidR="007C7607" w:rsidRPr="007C7607" w:rsidRDefault="007C7607" w:rsidP="007C7607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7C7607">
        <w:rPr>
          <w:rFonts w:ascii="Calibri" w:eastAsia="Calibri" w:hAnsi="Calibri" w:cs="Times New Roman"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F0AE4" wp14:editId="52F1B3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61100" cy="20447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044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45E0EA" w14:textId="77777777" w:rsidR="007C7607" w:rsidRPr="007C7607" w:rsidRDefault="007C7607" w:rsidP="007C7607">
                            <w:pPr>
                              <w:contextualSpacing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</w:pPr>
                            <w:r w:rsidRPr="007C760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i/>
                                <w:iCs/>
                                <w:color w:val="000000"/>
                                <w:lang w:eastAsia="en-GB"/>
                              </w:rPr>
                              <w:t>‘Your home-learning resources have helped our school immeasurably: they're so clear, and the fact that they are in daily chunks, with plenty of explanation for parents at home, has made them invaluable.’</w:t>
                            </w:r>
                            <w:r w:rsidRPr="007C7607">
                              <w:rPr>
                                <w:rFonts w:asciiTheme="majorHAnsi" w:eastAsia="Times New Roman" w:hAnsiTheme="majorHAnsi" w:cstheme="majorHAnsi"/>
                                <w:i/>
                                <w:iCs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proofErr w:type="gramStart"/>
                            <w:r w:rsidRPr="007C760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  <w:t>Nick, a Suffolk primary teacher.</w:t>
                            </w:r>
                            <w:proofErr w:type="gramEnd"/>
                          </w:p>
                          <w:p w14:paraId="3AD25590" w14:textId="77777777" w:rsidR="007C7607" w:rsidRPr="007C7607" w:rsidRDefault="007C7607" w:rsidP="007C7607">
                            <w:pPr>
                              <w:contextualSpacing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</w:pPr>
                          </w:p>
                          <w:p w14:paraId="32294603" w14:textId="77777777" w:rsidR="007C7607" w:rsidRPr="007C7607" w:rsidRDefault="007C7607" w:rsidP="007C7607">
                            <w:pPr>
                              <w:contextualSpacing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</w:pPr>
                            <w:r w:rsidRPr="007C760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  <w:t xml:space="preserve">Our small team have been working round the clock to produce these materials and we’re really happy that huge numbers of teachers, schools and parents have found them useful – and emailed us to say so!   </w:t>
                            </w:r>
                          </w:p>
                          <w:p w14:paraId="746FAC9D" w14:textId="77777777" w:rsidR="007C7607" w:rsidRPr="007C7607" w:rsidRDefault="007C7607" w:rsidP="007C7607">
                            <w:pPr>
                              <w:contextualSpacing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</w:pPr>
                          </w:p>
                          <w:p w14:paraId="7B3E06D5" w14:textId="77777777" w:rsidR="007C7607" w:rsidRPr="007C7607" w:rsidRDefault="007C7607" w:rsidP="007C7607">
                            <w:pPr>
                              <w:contextualSpacing/>
                              <w:rPr>
                                <w:rFonts w:asciiTheme="majorHAnsi" w:eastAsia="Times New Roman" w:hAnsiTheme="majorHAnsi" w:cstheme="majorHAnsi"/>
                                <w:lang w:eastAsia="en-GB"/>
                              </w:rPr>
                            </w:pPr>
                            <w:r w:rsidRPr="007C760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  <w:t xml:space="preserve">If you’re not a regular user of Hamilton, why not consider becoming a </w:t>
                            </w:r>
                            <w:hyperlink r:id="rId8" w:history="1">
                              <w:r w:rsidRPr="007C7607">
                                <w:rPr>
                                  <w:rStyle w:val="Hyperlink"/>
                                  <w:rFonts w:asciiTheme="majorHAnsi" w:eastAsia="Times New Roman" w:hAnsiTheme="majorHAnsi" w:cstheme="majorHAnsi"/>
                                  <w:lang w:eastAsia="en-GB"/>
                                </w:rPr>
                                <w:t>Friend of the charity</w:t>
                              </w:r>
                            </w:hyperlink>
                            <w:r w:rsidRPr="007C760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  <w:t xml:space="preserve"> to access the teaching materials in English, Maths and Topics for the whole year? Or take a moment to browse our </w:t>
                            </w:r>
                            <w:hyperlink r:id="rId9" w:history="1">
                              <w:r w:rsidRPr="007C7607">
                                <w:rPr>
                                  <w:rStyle w:val="Hyperlink"/>
                                  <w:rFonts w:asciiTheme="majorHAnsi" w:eastAsia="Times New Roman" w:hAnsiTheme="majorHAnsi" w:cstheme="majorHAnsi"/>
                                  <w:lang w:eastAsia="en-GB"/>
                                </w:rPr>
                                <w:t>free resources for schools</w:t>
                              </w:r>
                            </w:hyperlink>
                            <w:r w:rsidRPr="007C760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493pt;height:1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" fillcolor="#e2f0d9" strokecolor="#70ad47" strokeweight="1pt">
                <v:textbox>
                  <w:txbxContent>
                    <w:p w14:paraId="5345E0EA" w14:textId="77777777" w:rsidR="007C7607" w:rsidRPr="007C7607" w:rsidRDefault="007C7607" w:rsidP="007C7607">
                      <w:pPr>
                        <w:contextualSpacing/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</w:pPr>
                      <w:r w:rsidRPr="007C7607">
                        <w:rPr>
                          <w:rFonts w:asciiTheme="majorHAnsi" w:eastAsia="Times New Roman" w:hAnsiTheme="majorHAnsi" w:cstheme="majorHAnsi"/>
                          <w:b/>
                          <w:bCs/>
                          <w:i/>
                          <w:iCs/>
                          <w:color w:val="000000"/>
                          <w:lang w:eastAsia="en-GB"/>
                        </w:rPr>
                        <w:t>‘Your home-learning resources have helped our school immeasurably: they're so clear, and the fact that they are in daily chunks, with plenty of explanation for parents at home, has made them invaluable.’</w:t>
                      </w:r>
                      <w:r w:rsidRPr="007C7607">
                        <w:rPr>
                          <w:rFonts w:asciiTheme="majorHAnsi" w:eastAsia="Times New Roman" w:hAnsiTheme="majorHAnsi" w:cstheme="majorHAnsi"/>
                          <w:i/>
                          <w:iCs/>
                          <w:color w:val="000000"/>
                          <w:lang w:eastAsia="en-GB"/>
                        </w:rPr>
                        <w:t xml:space="preserve"> </w:t>
                      </w:r>
                      <w:proofErr w:type="gramStart"/>
                      <w:r w:rsidRPr="007C7607"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  <w:t>Nick, a Suffolk primary teacher.</w:t>
                      </w:r>
                      <w:proofErr w:type="gramEnd"/>
                    </w:p>
                    <w:p w14:paraId="3AD25590" w14:textId="77777777" w:rsidR="007C7607" w:rsidRPr="007C7607" w:rsidRDefault="007C7607" w:rsidP="007C7607">
                      <w:pPr>
                        <w:contextualSpacing/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</w:pPr>
                    </w:p>
                    <w:p w14:paraId="32294603" w14:textId="77777777" w:rsidR="007C7607" w:rsidRPr="007C7607" w:rsidRDefault="007C7607" w:rsidP="007C7607">
                      <w:pPr>
                        <w:contextualSpacing/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</w:pPr>
                      <w:r w:rsidRPr="007C7607"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  <w:t xml:space="preserve">Our small team have been working round the clock to produce these materials and we’re really happy that huge numbers of teachers, schools and parents have found them useful – and emailed us to say so!   </w:t>
                      </w:r>
                    </w:p>
                    <w:p w14:paraId="746FAC9D" w14:textId="77777777" w:rsidR="007C7607" w:rsidRPr="007C7607" w:rsidRDefault="007C7607" w:rsidP="007C7607">
                      <w:pPr>
                        <w:contextualSpacing/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</w:pPr>
                    </w:p>
                    <w:p w14:paraId="7B3E06D5" w14:textId="77777777" w:rsidR="007C7607" w:rsidRPr="007C7607" w:rsidRDefault="007C7607" w:rsidP="007C7607">
                      <w:pPr>
                        <w:contextualSpacing/>
                        <w:rPr>
                          <w:rFonts w:asciiTheme="majorHAnsi" w:eastAsia="Times New Roman" w:hAnsiTheme="majorHAnsi" w:cstheme="majorHAnsi"/>
                          <w:lang w:eastAsia="en-GB"/>
                        </w:rPr>
                      </w:pPr>
                      <w:r w:rsidRPr="007C7607"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  <w:t xml:space="preserve">If you’re not a regular user of Hamilton, why not consider becoming a </w:t>
                      </w:r>
                      <w:hyperlink r:id="rId10" w:history="1">
                        <w:r w:rsidRPr="007C7607">
                          <w:rPr>
                            <w:rStyle w:val="Hyperlink"/>
                            <w:rFonts w:asciiTheme="majorHAnsi" w:eastAsia="Times New Roman" w:hAnsiTheme="majorHAnsi" w:cstheme="majorHAnsi"/>
                            <w:lang w:eastAsia="en-GB"/>
                          </w:rPr>
                          <w:t>Friend of the charity</w:t>
                        </w:r>
                      </w:hyperlink>
                      <w:r w:rsidRPr="007C7607"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  <w:t xml:space="preserve"> to access the teaching materials in English, Maths and Topics for the whole year? Or take a moment to browse our </w:t>
                      </w:r>
                      <w:hyperlink r:id="rId11" w:history="1">
                        <w:r w:rsidRPr="007C7607">
                          <w:rPr>
                            <w:rStyle w:val="Hyperlink"/>
                            <w:rFonts w:asciiTheme="majorHAnsi" w:eastAsia="Times New Roman" w:hAnsiTheme="majorHAnsi" w:cstheme="majorHAnsi"/>
                            <w:lang w:eastAsia="en-GB"/>
                          </w:rPr>
                          <w:t>free resources for schools</w:t>
                        </w:r>
                      </w:hyperlink>
                      <w:r w:rsidRPr="007C7607"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F1D9A4E" w14:textId="77777777" w:rsidR="007C7607" w:rsidRPr="007C7607" w:rsidRDefault="007C7607" w:rsidP="007C7607">
      <w:pPr>
        <w:ind w:right="-188"/>
        <w:rPr>
          <w:rFonts w:ascii="Calibri" w:eastAsia="Calibri" w:hAnsi="Calibri" w:cs="Times New Roman"/>
          <w:color w:val="FF0000"/>
          <w:sz w:val="28"/>
          <w:szCs w:val="28"/>
        </w:rPr>
      </w:pPr>
    </w:p>
    <w:p w14:paraId="4DB5738F" w14:textId="77777777" w:rsidR="007C7607" w:rsidRPr="007C7607" w:rsidRDefault="007C7607" w:rsidP="007C7607">
      <w:pPr>
        <w:rPr>
          <w:rFonts w:ascii="Calibri" w:eastAsia="Calibri" w:hAnsi="Calibri" w:cs="Times New Roman"/>
          <w:b/>
          <w:bCs/>
          <w:sz w:val="26"/>
          <w:szCs w:val="26"/>
        </w:rPr>
      </w:pPr>
    </w:p>
    <w:p w14:paraId="02205FC5" w14:textId="77777777" w:rsidR="00D84B9E" w:rsidRDefault="00D84B9E" w:rsidP="004A3DB1">
      <w:pPr>
        <w:rPr>
          <w:rFonts w:asciiTheme="majorHAnsi" w:hAnsiTheme="majorHAnsi"/>
          <w:b/>
          <w:bCs/>
          <w:color w:val="FF0000"/>
          <w:sz w:val="28"/>
          <w:szCs w:val="28"/>
        </w:rPr>
      </w:pPr>
    </w:p>
    <w:p w14:paraId="2F06C82F" w14:textId="77777777" w:rsidR="00D84B9E" w:rsidRDefault="00D84B9E" w:rsidP="004A3DB1">
      <w:pPr>
        <w:rPr>
          <w:rFonts w:asciiTheme="majorHAnsi" w:hAnsiTheme="majorHAnsi"/>
          <w:b/>
          <w:bCs/>
          <w:color w:val="FF0000"/>
          <w:sz w:val="28"/>
          <w:szCs w:val="28"/>
        </w:rPr>
      </w:pPr>
    </w:p>
    <w:p w14:paraId="07FF34A1" w14:textId="77777777" w:rsidR="00D84B9E" w:rsidRDefault="00D84B9E" w:rsidP="004A3DB1">
      <w:pPr>
        <w:rPr>
          <w:rFonts w:asciiTheme="majorHAnsi" w:hAnsiTheme="majorHAnsi"/>
          <w:b/>
          <w:bCs/>
          <w:color w:val="FF0000"/>
          <w:sz w:val="28"/>
          <w:szCs w:val="28"/>
        </w:rPr>
      </w:pPr>
    </w:p>
    <w:p w14:paraId="092403DE" w14:textId="77777777" w:rsidR="007C7607" w:rsidRDefault="007C7607" w:rsidP="004A3DB1">
      <w:pPr>
        <w:rPr>
          <w:rFonts w:asciiTheme="majorHAnsi" w:hAnsiTheme="majorHAnsi"/>
          <w:b/>
          <w:bCs/>
          <w:color w:val="FF0000"/>
          <w:sz w:val="28"/>
          <w:szCs w:val="28"/>
        </w:rPr>
      </w:pPr>
    </w:p>
    <w:p w14:paraId="45B5242E" w14:textId="77777777" w:rsidR="007C7607" w:rsidRDefault="007C7607" w:rsidP="004A3DB1">
      <w:pPr>
        <w:rPr>
          <w:rFonts w:asciiTheme="majorHAnsi" w:hAnsiTheme="majorHAnsi"/>
          <w:b/>
          <w:bCs/>
          <w:color w:val="FF0000"/>
          <w:sz w:val="28"/>
          <w:szCs w:val="28"/>
        </w:rPr>
      </w:pP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1A301BC8" w:rsidR="00171D4D" w:rsidRPr="000641E5" w:rsidRDefault="004A3DB1" w:rsidP="000501AE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8C0770">
        <w:rPr>
          <w:rFonts w:asciiTheme="majorHAnsi" w:hAnsiTheme="majorHAnsi"/>
          <w:sz w:val="26"/>
          <w:szCs w:val="26"/>
        </w:rPr>
        <w:t xml:space="preserve">Read a version of </w:t>
      </w:r>
      <w:r w:rsidR="008C0770" w:rsidRPr="00AD169C">
        <w:rPr>
          <w:rFonts w:asciiTheme="majorHAnsi" w:hAnsiTheme="majorHAnsi"/>
          <w:i/>
          <w:sz w:val="26"/>
          <w:szCs w:val="26"/>
        </w:rPr>
        <w:t>Sleeping Beauty</w:t>
      </w:r>
      <w:r w:rsidR="008C0770">
        <w:rPr>
          <w:rFonts w:asciiTheme="majorHAnsi" w:hAnsiTheme="majorHAnsi"/>
          <w:sz w:val="26"/>
          <w:szCs w:val="26"/>
        </w:rPr>
        <w:t xml:space="preserve"> by Ruth Merttens and Anne Holm Petersen. Use a set of story cards to sequence events from the story and then orally retell it. Write descriptive phrases and sentences about Sleeping Beauty’s birthday party.</w:t>
      </w:r>
    </w:p>
    <w:p w14:paraId="4A10A4F4" w14:textId="25324353" w:rsidR="00A365C3" w:rsidRPr="00CD3279" w:rsidRDefault="00A365C3" w:rsidP="000501AE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8C0770" w:rsidRPr="008C0770">
        <w:rPr>
          <w:rFonts w:asciiTheme="majorHAnsi" w:hAnsiTheme="majorHAnsi"/>
          <w:bCs/>
          <w:sz w:val="26"/>
          <w:szCs w:val="26"/>
        </w:rPr>
        <w:t xml:space="preserve">Listen to Adele Moss tell the </w:t>
      </w:r>
      <w:r w:rsidR="008C41E5">
        <w:rPr>
          <w:rFonts w:asciiTheme="majorHAnsi" w:hAnsiTheme="majorHAnsi"/>
          <w:bCs/>
          <w:sz w:val="26"/>
          <w:szCs w:val="26"/>
        </w:rPr>
        <w:t xml:space="preserve">first half of the </w:t>
      </w:r>
      <w:r w:rsidR="008C0770" w:rsidRPr="008C0770">
        <w:rPr>
          <w:rFonts w:asciiTheme="majorHAnsi" w:hAnsiTheme="majorHAnsi"/>
          <w:bCs/>
          <w:sz w:val="26"/>
          <w:szCs w:val="26"/>
        </w:rPr>
        <w:t xml:space="preserve">story of </w:t>
      </w:r>
      <w:r w:rsidR="008C0770" w:rsidRPr="008C0770">
        <w:rPr>
          <w:rFonts w:asciiTheme="majorHAnsi" w:hAnsiTheme="majorHAnsi"/>
          <w:bCs/>
          <w:i/>
          <w:sz w:val="26"/>
          <w:szCs w:val="26"/>
        </w:rPr>
        <w:t>Sleeping Beauty</w:t>
      </w:r>
      <w:r w:rsidR="008C0770">
        <w:rPr>
          <w:rFonts w:asciiTheme="majorHAnsi" w:hAnsiTheme="majorHAnsi"/>
          <w:bCs/>
          <w:i/>
          <w:sz w:val="26"/>
          <w:szCs w:val="26"/>
        </w:rPr>
        <w:t>.</w:t>
      </w:r>
      <w:r w:rsidR="008C41E5">
        <w:rPr>
          <w:rFonts w:asciiTheme="majorHAnsi" w:hAnsiTheme="majorHAnsi"/>
          <w:bCs/>
          <w:i/>
          <w:sz w:val="26"/>
          <w:szCs w:val="26"/>
        </w:rPr>
        <w:t xml:space="preserve"> </w:t>
      </w:r>
      <w:r w:rsidR="008C41E5">
        <w:rPr>
          <w:rFonts w:asciiTheme="majorHAnsi" w:hAnsiTheme="majorHAnsi"/>
          <w:bCs/>
          <w:sz w:val="26"/>
          <w:szCs w:val="26"/>
        </w:rPr>
        <w:t>Recall and write about the wishes bestowed in the story. Write sentences about w</w:t>
      </w:r>
      <w:r w:rsidR="009839A8">
        <w:rPr>
          <w:rFonts w:asciiTheme="majorHAnsi" w:hAnsiTheme="majorHAnsi"/>
          <w:bCs/>
          <w:sz w:val="26"/>
          <w:szCs w:val="26"/>
        </w:rPr>
        <w:t>ishes or gifts you might</w:t>
      </w:r>
      <w:r w:rsidR="008C41E5">
        <w:rPr>
          <w:rFonts w:asciiTheme="majorHAnsi" w:hAnsiTheme="majorHAnsi"/>
          <w:bCs/>
          <w:sz w:val="26"/>
          <w:szCs w:val="26"/>
        </w:rPr>
        <w:t xml:space="preserve"> bestow on a new baby.</w:t>
      </w:r>
    </w:p>
    <w:p w14:paraId="4981FC9E" w14:textId="7D465A10" w:rsidR="00A365C3" w:rsidRPr="00A365C3" w:rsidRDefault="00A365C3" w:rsidP="000501AE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8C41E5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8C41E5">
        <w:rPr>
          <w:rFonts w:asciiTheme="majorHAnsi" w:hAnsiTheme="majorHAnsi"/>
          <w:bCs/>
          <w:sz w:val="26"/>
          <w:szCs w:val="26"/>
        </w:rPr>
        <w:t xml:space="preserve">Listen to the remainder of Adele Moss’s telling of </w:t>
      </w:r>
      <w:r w:rsidR="008C41E5" w:rsidRPr="008C41E5">
        <w:rPr>
          <w:rFonts w:asciiTheme="majorHAnsi" w:hAnsiTheme="majorHAnsi"/>
          <w:bCs/>
          <w:i/>
          <w:sz w:val="26"/>
          <w:szCs w:val="26"/>
        </w:rPr>
        <w:t>Sleeping Beauty</w:t>
      </w:r>
      <w:r w:rsidR="008C41E5">
        <w:rPr>
          <w:rFonts w:asciiTheme="majorHAnsi" w:hAnsiTheme="majorHAnsi"/>
          <w:bCs/>
          <w:sz w:val="26"/>
          <w:szCs w:val="26"/>
        </w:rPr>
        <w:t>. Compare and contrast the two versions of the story. Write sentences about how someone could get past the hedge in the tale. Write sentences explaining who</w:t>
      </w:r>
      <w:r w:rsidR="009839A8">
        <w:rPr>
          <w:rFonts w:asciiTheme="majorHAnsi" w:hAnsiTheme="majorHAnsi"/>
          <w:bCs/>
          <w:sz w:val="26"/>
          <w:szCs w:val="26"/>
        </w:rPr>
        <w:t>,</w:t>
      </w:r>
      <w:r w:rsidR="008C41E5">
        <w:rPr>
          <w:rFonts w:asciiTheme="majorHAnsi" w:hAnsiTheme="majorHAnsi"/>
          <w:bCs/>
          <w:sz w:val="26"/>
          <w:szCs w:val="26"/>
        </w:rPr>
        <w:t xml:space="preserve"> other than the Prince</w:t>
      </w:r>
      <w:r w:rsidR="009839A8">
        <w:rPr>
          <w:rFonts w:asciiTheme="majorHAnsi" w:hAnsiTheme="majorHAnsi"/>
          <w:bCs/>
          <w:sz w:val="26"/>
          <w:szCs w:val="26"/>
        </w:rPr>
        <w:t>,</w:t>
      </w:r>
      <w:r w:rsidR="008C41E5">
        <w:rPr>
          <w:rFonts w:asciiTheme="majorHAnsi" w:hAnsiTheme="majorHAnsi"/>
          <w:bCs/>
          <w:sz w:val="26"/>
          <w:szCs w:val="26"/>
        </w:rPr>
        <w:t xml:space="preserve"> might have woken Sleeping Beauty.</w:t>
      </w:r>
    </w:p>
    <w:p w14:paraId="15E01FD6" w14:textId="4914D142" w:rsidR="00A365C3" w:rsidRPr="00A365C3" w:rsidRDefault="00A365C3" w:rsidP="000501AE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 w:rsidR="00190905">
        <w:rPr>
          <w:rFonts w:asciiTheme="majorHAnsi" w:hAnsiTheme="majorHAnsi"/>
          <w:sz w:val="26"/>
          <w:szCs w:val="26"/>
        </w:rPr>
        <w:t xml:space="preserve"> </w:t>
      </w:r>
      <w:r w:rsidR="008C41E5">
        <w:rPr>
          <w:rFonts w:asciiTheme="majorHAnsi" w:hAnsiTheme="majorHAnsi"/>
          <w:sz w:val="26"/>
          <w:szCs w:val="26"/>
        </w:rPr>
        <w:t xml:space="preserve">Read a </w:t>
      </w:r>
      <w:r w:rsidR="003102DE">
        <w:rPr>
          <w:rFonts w:asciiTheme="majorHAnsi" w:hAnsiTheme="majorHAnsi"/>
          <w:sz w:val="26"/>
          <w:szCs w:val="26"/>
        </w:rPr>
        <w:t xml:space="preserve">non-fiction </w:t>
      </w:r>
      <w:r w:rsidR="008C41E5">
        <w:rPr>
          <w:rFonts w:asciiTheme="majorHAnsi" w:hAnsiTheme="majorHAnsi"/>
          <w:sz w:val="26"/>
          <w:szCs w:val="26"/>
        </w:rPr>
        <w:t>website entry on blue tits. Create and keep a written bird spotter’s chart. Draw and w</w:t>
      </w:r>
      <w:r w:rsidR="003102DE">
        <w:rPr>
          <w:rFonts w:asciiTheme="majorHAnsi" w:hAnsiTheme="majorHAnsi"/>
          <w:sz w:val="26"/>
          <w:szCs w:val="26"/>
        </w:rPr>
        <w:t>rite sentences about a common British</w:t>
      </w:r>
      <w:r w:rsidR="008C41E5">
        <w:rPr>
          <w:rFonts w:asciiTheme="majorHAnsi" w:hAnsiTheme="majorHAnsi"/>
          <w:sz w:val="26"/>
          <w:szCs w:val="26"/>
        </w:rPr>
        <w:t xml:space="preserve"> bird.</w:t>
      </w:r>
    </w:p>
    <w:p w14:paraId="604F2F94" w14:textId="2393E171" w:rsidR="00A365C3" w:rsidRPr="00A365C3" w:rsidRDefault="00A365C3" w:rsidP="000501AE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3102DE">
        <w:rPr>
          <w:rFonts w:asciiTheme="majorHAnsi" w:hAnsiTheme="majorHAnsi"/>
          <w:bCs/>
          <w:sz w:val="26"/>
          <w:szCs w:val="26"/>
        </w:rPr>
        <w:t xml:space="preserve"> Read further website entries on British birds. Use the Internet and books to research a less common British bird. Draw and write sentences about that bird.</w:t>
      </w:r>
    </w:p>
    <w:p w14:paraId="5139CBF5" w14:textId="77777777" w:rsidR="007C7607" w:rsidRDefault="007C7607" w:rsidP="000501AE">
      <w:pPr>
        <w:spacing w:line="276" w:lineRule="auto"/>
        <w:rPr>
          <w:rFonts w:asciiTheme="majorHAnsi" w:hAnsiTheme="majorHAnsi"/>
          <w:color w:val="0000FF"/>
          <w:sz w:val="30"/>
          <w:szCs w:val="30"/>
        </w:rPr>
      </w:pPr>
    </w:p>
    <w:p w14:paraId="31524847" w14:textId="77777777" w:rsidR="007C7607" w:rsidRDefault="007C7607" w:rsidP="000501AE">
      <w:pPr>
        <w:spacing w:line="276" w:lineRule="auto"/>
        <w:rPr>
          <w:rFonts w:asciiTheme="majorHAnsi" w:hAnsiTheme="majorHAnsi"/>
          <w:color w:val="0000FF"/>
          <w:sz w:val="30"/>
          <w:szCs w:val="30"/>
        </w:rPr>
      </w:pPr>
    </w:p>
    <w:p w14:paraId="7CBBE275" w14:textId="11BBBF28" w:rsidR="004A3DB1" w:rsidRPr="00A365C3" w:rsidRDefault="004A3DB1" w:rsidP="000501AE">
      <w:pPr>
        <w:spacing w:line="276" w:lineRule="auto"/>
        <w:rPr>
          <w:rFonts w:asciiTheme="majorHAnsi" w:hAnsiTheme="majorHAnsi"/>
          <w:color w:val="0000FF"/>
          <w:sz w:val="30"/>
          <w:szCs w:val="30"/>
        </w:rPr>
      </w:pPr>
      <w:bookmarkStart w:id="0" w:name="_GoBack"/>
      <w:bookmarkEnd w:id="0"/>
      <w:r w:rsidRPr="00A365C3">
        <w:rPr>
          <w:rFonts w:asciiTheme="majorHAnsi" w:hAnsiTheme="majorHAnsi"/>
          <w:color w:val="0000FF"/>
          <w:sz w:val="30"/>
          <w:szCs w:val="30"/>
        </w:rPr>
        <w:lastRenderedPageBreak/>
        <w:t>Summary of content</w:t>
      </w:r>
    </w:p>
    <w:p w14:paraId="27C27797" w14:textId="6E6D181B" w:rsidR="00A31FF0" w:rsidRPr="00AD169C" w:rsidRDefault="004A3DB1" w:rsidP="000501AE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AD169C" w:rsidRPr="00AD169C">
        <w:rPr>
          <w:rFonts w:asciiTheme="majorHAnsi" w:hAnsiTheme="majorHAnsi"/>
          <w:bCs/>
          <w:sz w:val="26"/>
          <w:szCs w:val="26"/>
        </w:rPr>
        <w:t xml:space="preserve">Read a familiar traditional story; sequence events in a </w:t>
      </w:r>
      <w:r w:rsidR="00AD169C">
        <w:rPr>
          <w:rFonts w:asciiTheme="majorHAnsi" w:hAnsiTheme="majorHAnsi"/>
          <w:bCs/>
          <w:sz w:val="26"/>
          <w:szCs w:val="26"/>
        </w:rPr>
        <w:t xml:space="preserve">traditional </w:t>
      </w:r>
      <w:r w:rsidR="00AD169C" w:rsidRPr="00AD169C">
        <w:rPr>
          <w:rFonts w:asciiTheme="majorHAnsi" w:hAnsiTheme="majorHAnsi"/>
          <w:bCs/>
          <w:sz w:val="26"/>
          <w:szCs w:val="26"/>
        </w:rPr>
        <w:t>story; write descr</w:t>
      </w:r>
      <w:r w:rsidR="009839A8">
        <w:rPr>
          <w:rFonts w:asciiTheme="majorHAnsi" w:hAnsiTheme="majorHAnsi"/>
          <w:bCs/>
          <w:sz w:val="26"/>
          <w:szCs w:val="26"/>
        </w:rPr>
        <w:t>iptive phrases and</w:t>
      </w:r>
      <w:r w:rsidR="00AD169C" w:rsidRPr="00AD169C">
        <w:rPr>
          <w:rFonts w:asciiTheme="majorHAnsi" w:hAnsiTheme="majorHAnsi"/>
          <w:bCs/>
          <w:sz w:val="26"/>
          <w:szCs w:val="26"/>
        </w:rPr>
        <w:t xml:space="preserve"> punctuated sentences.</w:t>
      </w:r>
    </w:p>
    <w:p w14:paraId="2A87679E" w14:textId="422D295F" w:rsidR="00A03DCA" w:rsidRDefault="00A03DCA" w:rsidP="000501AE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AD169C">
        <w:rPr>
          <w:rFonts w:asciiTheme="majorHAnsi" w:hAnsiTheme="majorHAnsi"/>
          <w:bCs/>
          <w:sz w:val="26"/>
          <w:szCs w:val="26"/>
        </w:rPr>
        <w:t xml:space="preserve">Listen </w:t>
      </w:r>
      <w:r w:rsidR="009839A8">
        <w:rPr>
          <w:rFonts w:asciiTheme="majorHAnsi" w:hAnsiTheme="majorHAnsi"/>
          <w:bCs/>
          <w:sz w:val="26"/>
          <w:szCs w:val="26"/>
        </w:rPr>
        <w:t xml:space="preserve">to </w:t>
      </w:r>
      <w:r w:rsidR="00AD169C">
        <w:rPr>
          <w:rFonts w:asciiTheme="majorHAnsi" w:hAnsiTheme="majorHAnsi"/>
          <w:bCs/>
          <w:sz w:val="26"/>
          <w:szCs w:val="26"/>
        </w:rPr>
        <w:t xml:space="preserve">a reading of </w:t>
      </w:r>
      <w:r w:rsidR="009839A8">
        <w:rPr>
          <w:rFonts w:asciiTheme="majorHAnsi" w:hAnsiTheme="majorHAnsi"/>
          <w:bCs/>
          <w:sz w:val="26"/>
          <w:szCs w:val="26"/>
        </w:rPr>
        <w:t xml:space="preserve">part of a </w:t>
      </w:r>
      <w:r w:rsidR="00AD169C">
        <w:rPr>
          <w:rFonts w:asciiTheme="majorHAnsi" w:hAnsiTheme="majorHAnsi"/>
          <w:bCs/>
          <w:sz w:val="26"/>
          <w:szCs w:val="26"/>
        </w:rPr>
        <w:t>familiar traditional story</w:t>
      </w:r>
      <w:r w:rsidR="009839A8">
        <w:rPr>
          <w:rFonts w:asciiTheme="majorHAnsi" w:hAnsiTheme="majorHAnsi"/>
          <w:bCs/>
          <w:sz w:val="26"/>
          <w:szCs w:val="26"/>
        </w:rPr>
        <w:t>; write punctuated sentences containing conjunctions.</w:t>
      </w:r>
    </w:p>
    <w:p w14:paraId="27218D12" w14:textId="283238DD" w:rsidR="00A03DCA" w:rsidRDefault="00A03DCA" w:rsidP="000501AE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9839A8">
        <w:rPr>
          <w:rFonts w:asciiTheme="majorHAnsi" w:hAnsiTheme="majorHAnsi"/>
          <w:bCs/>
          <w:sz w:val="26"/>
          <w:szCs w:val="26"/>
        </w:rPr>
        <w:t>Continue to listen to a reading of a traditional story; compare written and spoken versions of a traditional story; write punctuated sentences containing conjunctions.</w:t>
      </w:r>
    </w:p>
    <w:p w14:paraId="5771D578" w14:textId="3C9DFCC5" w:rsidR="00A03DCA" w:rsidRDefault="00A03DCA" w:rsidP="000501AE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9839A8">
        <w:rPr>
          <w:rFonts w:asciiTheme="majorHAnsi" w:hAnsiTheme="majorHAnsi"/>
          <w:bCs/>
          <w:sz w:val="26"/>
          <w:szCs w:val="26"/>
        </w:rPr>
        <w:t>Read a non-fiction text; write sentences for a non-fiction text.</w:t>
      </w:r>
    </w:p>
    <w:p w14:paraId="75B7C8CF" w14:textId="73F460BB" w:rsidR="00A03DCA" w:rsidRPr="00A03DCA" w:rsidRDefault="00A03DCA" w:rsidP="000501AE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9839A8">
        <w:rPr>
          <w:rFonts w:asciiTheme="majorHAnsi" w:hAnsiTheme="majorHAnsi"/>
          <w:bCs/>
          <w:sz w:val="26"/>
          <w:szCs w:val="26"/>
        </w:rPr>
        <w:t>Read a further short non-fiction text; use a variety of sources for non-fiction research; write punctuated sentences containing conjunctions.</w:t>
      </w:r>
    </w:p>
    <w:sectPr w:rsidR="00A03DCA" w:rsidRPr="00A03DC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65107" w14:textId="77777777" w:rsidR="00C33324" w:rsidRDefault="00C33324" w:rsidP="000501AE">
      <w:pPr>
        <w:spacing w:after="0" w:line="240" w:lineRule="auto"/>
      </w:pPr>
      <w:r>
        <w:separator/>
      </w:r>
    </w:p>
  </w:endnote>
  <w:endnote w:type="continuationSeparator" w:id="0">
    <w:p w14:paraId="17DEFF4C" w14:textId="77777777" w:rsidR="00C33324" w:rsidRDefault="00C33324" w:rsidP="0005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7B1F0" w14:textId="58A91C9C" w:rsidR="000501AE" w:rsidRPr="00A86F3F" w:rsidRDefault="000501AE" w:rsidP="00A86F3F">
    <w:pPr>
      <w:ind w:left="-567" w:right="-472"/>
      <w:rPr>
        <w:rFonts w:asciiTheme="majorHAnsi" w:hAnsiTheme="majorHAnsi" w:cs="Tahoma"/>
        <w:sz w:val="20"/>
        <w:szCs w:val="20"/>
      </w:rPr>
    </w:pPr>
    <w:r w:rsidRPr="00A86F3F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A86F3F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A86F3F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A86F3F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A86F3F" w:rsidRPr="00A86F3F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12 Teacher Notes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E91B0" w14:textId="77777777" w:rsidR="00C33324" w:rsidRDefault="00C33324" w:rsidP="000501AE">
      <w:pPr>
        <w:spacing w:after="0" w:line="240" w:lineRule="auto"/>
      </w:pPr>
      <w:r>
        <w:separator/>
      </w:r>
    </w:p>
  </w:footnote>
  <w:footnote w:type="continuationSeparator" w:id="0">
    <w:p w14:paraId="122DF4D0" w14:textId="77777777" w:rsidR="00C33324" w:rsidRDefault="00C33324" w:rsidP="0005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B1"/>
    <w:rsid w:val="00025C11"/>
    <w:rsid w:val="000501AE"/>
    <w:rsid w:val="000641E5"/>
    <w:rsid w:val="00076FAF"/>
    <w:rsid w:val="00084E08"/>
    <w:rsid w:val="000C1AE4"/>
    <w:rsid w:val="000E1584"/>
    <w:rsid w:val="00171D4D"/>
    <w:rsid w:val="00190905"/>
    <w:rsid w:val="001A12A9"/>
    <w:rsid w:val="001B04DA"/>
    <w:rsid w:val="002456B7"/>
    <w:rsid w:val="00246695"/>
    <w:rsid w:val="00253716"/>
    <w:rsid w:val="002D6892"/>
    <w:rsid w:val="002F6815"/>
    <w:rsid w:val="003040AB"/>
    <w:rsid w:val="003102DE"/>
    <w:rsid w:val="00352533"/>
    <w:rsid w:val="003A14C4"/>
    <w:rsid w:val="003F56FE"/>
    <w:rsid w:val="0044649D"/>
    <w:rsid w:val="00455D4E"/>
    <w:rsid w:val="004601D3"/>
    <w:rsid w:val="00464FAD"/>
    <w:rsid w:val="00465677"/>
    <w:rsid w:val="004A3DB1"/>
    <w:rsid w:val="004E7A91"/>
    <w:rsid w:val="00511DA6"/>
    <w:rsid w:val="006370AF"/>
    <w:rsid w:val="00644A81"/>
    <w:rsid w:val="006A621C"/>
    <w:rsid w:val="006E6B29"/>
    <w:rsid w:val="0079056A"/>
    <w:rsid w:val="007C7607"/>
    <w:rsid w:val="007D6E67"/>
    <w:rsid w:val="00873DA7"/>
    <w:rsid w:val="008C0770"/>
    <w:rsid w:val="008C41E5"/>
    <w:rsid w:val="008E01B3"/>
    <w:rsid w:val="00912FA4"/>
    <w:rsid w:val="00922744"/>
    <w:rsid w:val="00936F50"/>
    <w:rsid w:val="00943100"/>
    <w:rsid w:val="009839A8"/>
    <w:rsid w:val="00A03DCA"/>
    <w:rsid w:val="00A31FF0"/>
    <w:rsid w:val="00A365C3"/>
    <w:rsid w:val="00A835FE"/>
    <w:rsid w:val="00A86F3F"/>
    <w:rsid w:val="00AD169C"/>
    <w:rsid w:val="00B13F49"/>
    <w:rsid w:val="00BC2E14"/>
    <w:rsid w:val="00BC45EE"/>
    <w:rsid w:val="00BE38D6"/>
    <w:rsid w:val="00C33324"/>
    <w:rsid w:val="00C529C1"/>
    <w:rsid w:val="00CB1A6F"/>
    <w:rsid w:val="00CD3279"/>
    <w:rsid w:val="00D25D5E"/>
    <w:rsid w:val="00D84B9E"/>
    <w:rsid w:val="00E731F2"/>
    <w:rsid w:val="00F7433D"/>
    <w:rsid w:val="00F81EAD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AE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AE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501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AE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AE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50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sign-up/?utm_source=hamilton&amp;utm_medium=lhp&amp;utm_campaign=tn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amilton-trust.org.uk/about-hamilton/use-for-free/?utm_source=hamilton&amp;utm_medium=lhp&amp;utm_campaign=tn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amilton-trust.org.uk/sign-up/?utm_source=hamilton&amp;utm_medium=lhp&amp;utm_campaign=t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milton-trust.org.uk/about-hamilton/use-for-free/?utm_source=hamilton&amp;utm_medium=lhp&amp;utm_campaign=tn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O'Brien</dc:creator>
  <cp:lastModifiedBy>talek</cp:lastModifiedBy>
  <cp:revision>3</cp:revision>
  <dcterms:created xsi:type="dcterms:W3CDTF">2020-06-08T14:54:00Z</dcterms:created>
  <dcterms:modified xsi:type="dcterms:W3CDTF">2020-06-08T14:54:00Z</dcterms:modified>
</cp:coreProperties>
</file>